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280" w:before="100"/>
        <w:tabs>
          <w:tab w:val="center" w:pos="4677" w:leader="none"/>
        </w:tabs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-377190</wp:posOffset>
                </wp:positionV>
                <wp:extent cx="1200150" cy="981075"/>
                <wp:effectExtent l="19050" t="0" r="0" b="0"/>
                <wp:wrapThrough wrapText="bothSides">
                  <wp:wrapPolygon edited="1">
                    <wp:start x="-343" y="0"/>
                    <wp:lineTo x="-343" y="21390"/>
                    <wp:lineTo x="21600" y="21390"/>
                    <wp:lineTo x="21600" y="0"/>
                    <wp:lineTo x="-343" y="0"/>
                  </wp:wrapPolygon>
                </wp:wrapThrough>
                <wp:docPr id="1" name="Рисунок 0" descr="логотип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логотип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7728;o:allowoverlap:true;o:allowincell:true;mso-position-horizontal-relative:text;margin-left:-58.0pt;mso-position-horizontal:absolute;mso-position-vertical-relative:text;margin-top:-29.7pt;mso-position-vertical:absolute;width:94.5pt;height:77.2pt;" wrapcoords="-1587 0 -1587 99028 100000 99028 100000 0 -1587 0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lineRule="auto" w:line="240" w:after="280" w:before="100"/>
        <w:tabs>
          <w:tab w:val="center" w:pos="4677" w:leader="none"/>
        </w:tabs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Договор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на </w:t>
      </w:r>
      <w:bookmarkStart w:id="0" w:name="_GoBack"/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проведение 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обследования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 w:eastAsia="Times New Roman"/>
          <w:b/>
        </w:rPr>
        <w:t xml:space="preserve">№ </w:t>
      </w:r>
      <w:r>
        <w:rPr>
          <w:rFonts w:ascii="Times New Roman" w:hAnsi="Times New Roman" w:cs="Times New Roman" w:eastAsia="Times New Roman"/>
          <w:b/>
        </w:rPr>
        <w:t xml:space="preserve">________</w:t>
      </w:r>
      <w:r/>
    </w:p>
    <w:p>
      <w:pPr>
        <w:ind w:firstLine="142"/>
        <w:jc w:val="both"/>
        <w:rPr>
          <w:rFonts w:ascii="Times New Roman" w:hAnsi="Times New Roman" w:cs="Times New Roman" w:eastAsia="Times New Roman"/>
          <w:b/>
          <w:i/>
        </w:rPr>
      </w:pPr>
      <w:r>
        <w:rPr>
          <w:rFonts w:ascii="Times New Roman" w:hAnsi="Times New Roman" w:cs="Times New Roman" w:eastAsia="Times New Roman"/>
          <w:b/>
          <w:i/>
        </w:rPr>
      </w:r>
      <w:r/>
    </w:p>
    <w:p>
      <w:pPr>
        <w:ind w:firstLine="142"/>
        <w:jc w:val="both"/>
        <w:rPr>
          <w:rFonts w:ascii="Times New Roman" w:hAnsi="Times New Roman" w:cs="Times New Roman" w:eastAsia="Times New Roman"/>
          <w:b/>
          <w:i/>
        </w:rPr>
      </w:pPr>
      <w:r>
        <w:rPr>
          <w:rFonts w:ascii="Times New Roman" w:hAnsi="Times New Roman" w:cs="Times New Roman" w:eastAsia="Times New Roman"/>
          <w:b/>
          <w:i/>
        </w:rPr>
        <w:t xml:space="preserve">г. Москва</w:t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i/>
        </w:rPr>
        <w:t xml:space="preserve">«__</w:t>
      </w:r>
      <w:r>
        <w:rPr>
          <w:rFonts w:ascii="Times New Roman" w:hAnsi="Times New Roman" w:cs="Times New Roman" w:eastAsia="Times New Roman"/>
          <w:b/>
          <w:i/>
        </w:rPr>
        <w:t xml:space="preserve">» </w:t>
      </w:r>
      <w:r>
        <w:rPr>
          <w:rFonts w:ascii="Times New Roman" w:hAnsi="Times New Roman" w:cs="Times New Roman" w:eastAsia="Times New Roman"/>
          <w:b/>
          <w:i/>
        </w:rPr>
        <w:t xml:space="preserve">_______</w:t>
      </w:r>
      <w:r>
        <w:rPr>
          <w:rFonts w:ascii="Times New Roman" w:hAnsi="Times New Roman" w:cs="Times New Roman" w:eastAsia="Times New Roman"/>
          <w:b/>
          <w:i/>
        </w:rPr>
        <w:t xml:space="preserve">20</w:t>
      </w:r>
      <w:r>
        <w:rPr>
          <w:rFonts w:ascii="Times New Roman" w:hAnsi="Times New Roman" w:cs="Times New Roman" w:eastAsia="Times New Roman"/>
          <w:b/>
          <w:i/>
        </w:rPr>
        <w:t xml:space="preserve">22</w:t>
      </w:r>
      <w:r>
        <w:rPr>
          <w:rFonts w:ascii="Times New Roman" w:hAnsi="Times New Roman" w:cs="Times New Roman" w:eastAsia="Times New Roman"/>
          <w:b/>
          <w:i/>
        </w:rPr>
        <w:t xml:space="preserve"> года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b/>
        </w:rPr>
        <w:t xml:space="preserve">Общество с ограниченной ответственностью «Технадзор77»</w:t>
      </w:r>
      <w:r>
        <w:rPr>
          <w:rFonts w:ascii="Times New Roman" w:hAnsi="Times New Roman" w:cs="Times New Roman" w:eastAsia="Times New Roman"/>
        </w:rPr>
        <w:t xml:space="preserve">, именуемое в дальнейшем </w:t>
      </w:r>
      <w:r>
        <w:rPr>
          <w:rFonts w:ascii="Times New Roman" w:hAnsi="Times New Roman" w:cs="Times New Roman" w:eastAsia="Times New Roman"/>
          <w:b/>
        </w:rPr>
        <w:t xml:space="preserve">«Исполнитель»</w:t>
      </w:r>
      <w:r>
        <w:rPr>
          <w:rFonts w:ascii="Times New Roman" w:hAnsi="Times New Roman" w:cs="Times New Roman" w:eastAsia="Times New Roman"/>
        </w:rPr>
        <w:t xml:space="preserve">, в лице генерального директора Коржева Дмитрия Сергеевича, действующего на основании Устава, с одной стороны, и </w:t>
      </w:r>
      <w:r>
        <w:rPr>
          <w:rStyle w:val="675"/>
          <w:rFonts w:ascii="Times New Roman" w:hAnsi="Times New Roman" w:cs="Times New Roman"/>
          <w:b/>
          <w:sz w:val="24"/>
          <w:szCs w:val="24"/>
          <w:shd w:val="clear" w:fill="FFFFFF" w:color="auto"/>
        </w:rPr>
        <w:t xml:space="preserve">_____________________</w:t>
      </w:r>
      <w:r>
        <w:rPr>
          <w:rStyle w:val="675"/>
          <w:rFonts w:ascii="Times New Roman" w:hAnsi="Times New Roman" w:cs="Times New Roman"/>
          <w:b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именуемый (ая)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 дальнейшем «</w:t>
      </w:r>
      <w:r>
        <w:rPr>
          <w:rFonts w:ascii="Times New Roman" w:hAnsi="Times New Roman" w:cs="Times New Roman" w:eastAsia="Times New Roman"/>
          <w:b/>
        </w:rPr>
        <w:t xml:space="preserve">Заказчик</w:t>
      </w:r>
      <w:r>
        <w:rPr>
          <w:rFonts w:ascii="Times New Roman" w:hAnsi="Times New Roman" w:cs="Times New Roman" w:eastAsia="Times New Roman"/>
        </w:rPr>
        <w:t xml:space="preserve">»</w:t>
      </w:r>
      <w:r>
        <w:rPr>
          <w:rStyle w:val="675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</w:rPr>
        <w:t xml:space="preserve"> с </w:t>
      </w:r>
      <w:r>
        <w:rPr>
          <w:rFonts w:ascii="Times New Roman" w:hAnsi="Times New Roman" w:cs="Times New Roman" w:eastAsia="Times New Roman"/>
        </w:rPr>
        <w:t xml:space="preserve">другой стороны, вместе именуемые Стороны, заключили настоящий договор о нижеследующем: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ПРЕДМЕТ ДОГОВОРА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1.1. Заказчик поручае</w:t>
      </w:r>
      <w:r>
        <w:rPr>
          <w:rFonts w:ascii="Times New Roman" w:hAnsi="Times New Roman" w:cs="Times New Roman" w:eastAsia="Times New Roman"/>
        </w:rPr>
        <w:t xml:space="preserve">т и оплачивает, а Исполнитель </w:t>
      </w:r>
      <w:r>
        <w:rPr>
          <w:rFonts w:ascii="Times New Roman" w:hAnsi="Times New Roman" w:cs="Times New Roman" w:eastAsia="Times New Roman"/>
        </w:rPr>
        <w:t xml:space="preserve">принимает на себя обязательс</w:t>
      </w:r>
      <w:r>
        <w:rPr>
          <w:rFonts w:ascii="Times New Roman" w:hAnsi="Times New Roman" w:cs="Times New Roman" w:eastAsia="Times New Roman"/>
        </w:rPr>
        <w:t xml:space="preserve">тво по проведению </w:t>
      </w:r>
      <w:r>
        <w:rPr>
          <w:rFonts w:ascii="Times New Roman" w:hAnsi="Times New Roman" w:cs="Times New Roman"/>
        </w:rPr>
        <w:t xml:space="preserve">обследования </w:t>
      </w:r>
      <w:r>
        <w:rPr>
          <w:rFonts w:ascii="Times New Roman" w:hAnsi="Times New Roman" w:cs="Times New Roman"/>
        </w:rPr>
        <w:t xml:space="preserve">электросетей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электроустановки </w:t>
      </w:r>
      <w:r>
        <w:rPr>
          <w:rFonts w:ascii="Times New Roman" w:hAnsi="Times New Roman" w:cs="Times New Roman"/>
        </w:rPr>
        <w:t xml:space="preserve">объекта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расположенного по адресу: </w:t>
      </w:r>
      <w:r>
        <w:rPr>
          <w:rFonts w:ascii="Times New Roman" w:hAnsi="Times New Roman" w:cs="Times New Roman" w:eastAsia="Times New Roman"/>
        </w:rPr>
        <w:t xml:space="preserve">_____________________________________________________________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1.2. Исполнитель оформляет результаты </w:t>
      </w:r>
      <w:r>
        <w:rPr>
          <w:rFonts w:ascii="Times New Roman" w:hAnsi="Times New Roman" w:cs="Times New Roman" w:eastAsia="Times New Roman"/>
        </w:rPr>
        <w:t xml:space="preserve">обследования</w:t>
      </w:r>
      <w:r>
        <w:rPr>
          <w:rFonts w:ascii="Times New Roman" w:hAnsi="Times New Roman" w:cs="Times New Roman" w:eastAsia="Times New Roman"/>
        </w:rPr>
        <w:t xml:space="preserve"> в форме отчета </w:t>
      </w:r>
      <w:r>
        <w:rPr>
          <w:rFonts w:ascii="Times New Roman" w:hAnsi="Times New Roman" w:cs="Times New Roman" w:eastAsia="Times New Roman"/>
        </w:rPr>
        <w:t xml:space="preserve">(Приложение 1)</w:t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  </w:t>
      </w:r>
      <w:r/>
    </w:p>
    <w:p>
      <w:pPr>
        <w:numPr>
          <w:ilvl w:val="0"/>
          <w:numId w:val="2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СТОИМОСТЬ ОКАЗАНИЯ УСЛУГ</w:t>
      </w:r>
      <w:r/>
    </w:p>
    <w:p>
      <w:pPr>
        <w:numPr>
          <w:ilvl w:val="1"/>
          <w:numId w:val="2"/>
        </w:numPr>
        <w:contextualSpacing w:val="true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Общая с</w:t>
      </w:r>
      <w:r>
        <w:rPr>
          <w:rFonts w:ascii="Times New Roman" w:hAnsi="Times New Roman" w:cs="Times New Roman" w:eastAsia="Times New Roman"/>
        </w:rPr>
        <w:t xml:space="preserve">тоимость</w:t>
      </w:r>
      <w:r>
        <w:rPr>
          <w:rFonts w:ascii="Times New Roman" w:hAnsi="Times New Roman" w:cs="Times New Roman" w:eastAsia="Times New Roman"/>
        </w:rPr>
        <w:t xml:space="preserve"> услуг по Договору составляет </w:t>
      </w:r>
      <w:r>
        <w:rPr>
          <w:rFonts w:ascii="Times New Roman" w:hAnsi="Times New Roman" w:cs="Times New Roman" w:eastAsia="Times New Roman"/>
        </w:rPr>
        <w:t xml:space="preserve">3</w:t>
      </w:r>
      <w:r>
        <w:rPr>
          <w:rFonts w:ascii="Times New Roman" w:hAnsi="Times New Roman" w:cs="Times New Roman" w:eastAsia="Times New Roman"/>
        </w:rPr>
        <w:t xml:space="preserve">1</w:t>
      </w:r>
      <w:r>
        <w:rPr>
          <w:rFonts w:ascii="Times New Roman" w:hAnsi="Times New Roman" w:cs="Times New Roman" w:eastAsia="Times New Roman"/>
        </w:rPr>
        <w:t xml:space="preserve">5</w:t>
      </w:r>
      <w:r>
        <w:rPr>
          <w:rFonts w:ascii="Times New Roman" w:hAnsi="Times New Roman" w:cs="Times New Roman" w:eastAsia="Times New Roman"/>
        </w:rPr>
        <w:t xml:space="preserve">00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(</w:t>
      </w:r>
      <w:r>
        <w:rPr>
          <w:rFonts w:ascii="Times New Roman" w:hAnsi="Times New Roman" w:cs="Times New Roman" w:eastAsia="Times New Roman"/>
        </w:rPr>
        <w:t xml:space="preserve">тридцать</w:t>
      </w:r>
      <w:r>
        <w:rPr>
          <w:rFonts w:ascii="Times New Roman" w:hAnsi="Times New Roman" w:cs="Times New Roman" w:eastAsia="Times New Roman"/>
        </w:rPr>
        <w:t xml:space="preserve"> одна</w:t>
      </w:r>
      <w:r>
        <w:rPr>
          <w:rFonts w:ascii="Times New Roman" w:hAnsi="Times New Roman" w:cs="Times New Roman" w:eastAsia="Times New Roman"/>
        </w:rPr>
        <w:t xml:space="preserve"> тысяч</w:t>
      </w:r>
      <w:r>
        <w:rPr>
          <w:rFonts w:ascii="Times New Roman" w:hAnsi="Times New Roman" w:cs="Times New Roman" w:eastAsia="Times New Roman"/>
        </w:rPr>
        <w:t xml:space="preserve">а</w:t>
      </w:r>
      <w:r>
        <w:rPr>
          <w:rFonts w:ascii="Times New Roman" w:hAnsi="Times New Roman" w:cs="Times New Roman" w:eastAsia="Times New Roman"/>
        </w:rPr>
        <w:t xml:space="preserve"> пятьсот</w:t>
      </w:r>
      <w:r>
        <w:rPr>
          <w:rFonts w:ascii="Times New Roman" w:hAnsi="Times New Roman" w:cs="Times New Roman" w:eastAsia="Times New Roman"/>
        </w:rPr>
        <w:t xml:space="preserve">) </w:t>
      </w:r>
      <w:r>
        <w:rPr>
          <w:rFonts w:ascii="Times New Roman" w:hAnsi="Times New Roman" w:cs="Times New Roman" w:eastAsia="Times New Roman"/>
        </w:rPr>
        <w:t xml:space="preserve">рублей 00 коп.</w:t>
      </w:r>
      <w:r>
        <w:rPr>
          <w:rFonts w:ascii="Times New Roman" w:hAnsi="Times New Roman" w:cs="Times New Roman" w:eastAsia="Times New Roman"/>
        </w:rPr>
        <w:t xml:space="preserve"> НДС не облагается в связи с использованием УСН.</w:t>
      </w:r>
      <w:r/>
    </w:p>
    <w:p>
      <w:pPr>
        <w:numPr>
          <w:ilvl w:val="1"/>
          <w:numId w:val="2"/>
        </w:numPr>
        <w:ind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Заказчик оплачивает Исполнителю 50 % от стоимости услуг при подписании Договора и 50% от стоимости услуг в течении 3</w:t>
      </w:r>
      <w:r>
        <w:rPr>
          <w:rFonts w:ascii="Times New Roman" w:hAnsi="Times New Roman" w:cs="Times New Roman" w:eastAsia="Times New Roman"/>
        </w:rPr>
        <w:t xml:space="preserve">-</w:t>
      </w:r>
      <w:r>
        <w:rPr>
          <w:rFonts w:ascii="Times New Roman" w:hAnsi="Times New Roman" w:cs="Times New Roman" w:eastAsia="Times New Roman"/>
        </w:rPr>
        <w:t xml:space="preserve">х дней после предоставления технического заключения.</w:t>
      </w:r>
      <w:r/>
    </w:p>
    <w:p>
      <w:pPr>
        <w:numPr>
          <w:ilvl w:val="1"/>
          <w:numId w:val="2"/>
        </w:num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В случае </w:t>
      </w:r>
      <w:r>
        <w:rPr>
          <w:rFonts w:ascii="Times New Roman" w:hAnsi="Times New Roman" w:cs="Times New Roman" w:eastAsia="Times New Roman"/>
        </w:rPr>
        <w:t xml:space="preserve">если стороны договорятся о необходимости вы</w:t>
      </w:r>
      <w:r>
        <w:rPr>
          <w:rFonts w:ascii="Times New Roman" w:hAnsi="Times New Roman" w:cs="Times New Roman" w:eastAsia="Times New Roman"/>
        </w:rPr>
        <w:t xml:space="preserve">полнения дополнительных работ, </w:t>
      </w:r>
      <w:r>
        <w:rPr>
          <w:rFonts w:ascii="Times New Roman" w:hAnsi="Times New Roman" w:cs="Times New Roman" w:eastAsia="Times New Roman"/>
        </w:rPr>
        <w:t xml:space="preserve">стоимость услуг подлежит изменению путем подписания Дополнительного соглашения к настоящему Договору.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СРОКИ ОКАЗАНИЯ УСЛУГ</w:t>
      </w:r>
      <w:r/>
    </w:p>
    <w:p>
      <w:pPr>
        <w:numPr>
          <w:ilvl w:val="1"/>
          <w:numId w:val="3"/>
        </w:numPr>
        <w:ind w:left="0" w:firstLine="284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Исполнитель</w:t>
      </w:r>
      <w:r>
        <w:rPr>
          <w:rFonts w:ascii="Times New Roman" w:hAnsi="Times New Roman" w:cs="Times New Roman" w:eastAsia="Times New Roman"/>
        </w:rPr>
        <w:t xml:space="preserve"> предоставляет </w:t>
      </w:r>
      <w:r>
        <w:rPr>
          <w:rFonts w:ascii="Times New Roman" w:hAnsi="Times New Roman" w:cs="Times New Roman" w:eastAsia="Times New Roman"/>
        </w:rPr>
        <w:t xml:space="preserve">заказчику </w:t>
      </w:r>
      <w:r>
        <w:rPr>
          <w:rFonts w:ascii="Times New Roman" w:hAnsi="Times New Roman" w:cs="Times New Roman" w:eastAsia="Times New Roman"/>
        </w:rPr>
        <w:t xml:space="preserve">отчет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 обследованию объекта</w:t>
      </w:r>
      <w:r>
        <w:rPr>
          <w:rFonts w:ascii="Times New Roman" w:hAnsi="Times New Roman" w:cs="Times New Roman" w:eastAsia="Times New Roman"/>
        </w:rPr>
        <w:t xml:space="preserve"> (Приложение №1) </w:t>
      </w:r>
      <w:r>
        <w:rPr>
          <w:rFonts w:ascii="Times New Roman" w:hAnsi="Times New Roman" w:cs="Times New Roman" w:eastAsia="Times New Roman"/>
        </w:rPr>
        <w:t xml:space="preserve">через 7</w:t>
      </w:r>
      <w:r>
        <w:rPr>
          <w:rFonts w:ascii="Times New Roman" w:hAnsi="Times New Roman" w:cs="Times New Roman" w:eastAsia="Times New Roman"/>
        </w:rPr>
        <w:t xml:space="preserve"> (</w:t>
      </w:r>
      <w:r>
        <w:rPr>
          <w:rFonts w:ascii="Times New Roman" w:hAnsi="Times New Roman" w:cs="Times New Roman" w:eastAsia="Times New Roman"/>
        </w:rPr>
        <w:t xml:space="preserve">сем</w:t>
      </w:r>
      <w:r>
        <w:rPr>
          <w:rFonts w:ascii="Times New Roman" w:hAnsi="Times New Roman" w:cs="Times New Roman" w:eastAsia="Times New Roman"/>
        </w:rPr>
        <w:t xml:space="preserve">ь</w:t>
      </w:r>
      <w:r>
        <w:rPr>
          <w:rFonts w:ascii="Times New Roman" w:hAnsi="Times New Roman" w:cs="Times New Roman" w:eastAsia="Times New Roman"/>
        </w:rPr>
        <w:t xml:space="preserve">)</w:t>
      </w:r>
      <w:r>
        <w:rPr>
          <w:rFonts w:ascii="Times New Roman" w:hAnsi="Times New Roman" w:cs="Times New Roman" w:eastAsia="Times New Roman"/>
        </w:rPr>
        <w:t xml:space="preserve"> рабочих дней после </w:t>
      </w:r>
      <w:r>
        <w:rPr>
          <w:rFonts w:ascii="Times New Roman" w:hAnsi="Times New Roman" w:cs="Times New Roman" w:eastAsia="Times New Roman"/>
        </w:rPr>
        <w:t xml:space="preserve">проведения обследования</w:t>
      </w:r>
      <w:r/>
    </w:p>
    <w:p>
      <w:pPr>
        <w:numPr>
          <w:ilvl w:val="1"/>
          <w:numId w:val="3"/>
        </w:numPr>
        <w:ind w:left="0"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Доступ к объекту должен быть предоставлен не позднее чем через</w:t>
      </w:r>
      <w:r>
        <w:rPr>
          <w:rFonts w:ascii="Times New Roman" w:hAnsi="Times New Roman" w:cs="Times New Roman" w:eastAsia="Times New Roman"/>
        </w:rPr>
        <w:t xml:space="preserve"> 2 дня после</w:t>
      </w:r>
      <w:r>
        <w:rPr>
          <w:rFonts w:ascii="Times New Roman" w:hAnsi="Times New Roman" w:cs="Times New Roman" w:eastAsia="Times New Roman"/>
        </w:rPr>
        <w:t xml:space="preserve"> подписания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договора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ind w:left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ПОРЯДОК ПРИЕМКИ УСЛУГ</w:t>
      </w:r>
      <w:r/>
    </w:p>
    <w:p>
      <w:pPr>
        <w:numPr>
          <w:ilvl w:val="1"/>
          <w:numId w:val="3"/>
        </w:numPr>
        <w:ind w:left="142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По окончании оказания услуг </w:t>
      </w:r>
      <w:r>
        <w:rPr>
          <w:rFonts w:ascii="Times New Roman" w:hAnsi="Times New Roman" w:cs="Times New Roman" w:eastAsia="Times New Roman"/>
        </w:rPr>
        <w:t xml:space="preserve">Исполнитель предоставляет Заказчику следующую документацию: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- акт осмотра;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отчет;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акт</w:t>
      </w:r>
      <w:r>
        <w:rPr>
          <w:rFonts w:ascii="Times New Roman" w:hAnsi="Times New Roman" w:cs="Times New Roman" w:eastAsia="Times New Roman"/>
        </w:rPr>
        <w:t xml:space="preserve">ы сдачи-приемки оказанных услуг</w:t>
      </w:r>
      <w:r>
        <w:rPr>
          <w:rFonts w:ascii="Times New Roman" w:hAnsi="Times New Roman" w:cs="Times New Roman" w:eastAsia="Times New Roman"/>
        </w:rPr>
        <w:t xml:space="preserve"> в 2-х экземплярах;</w:t>
      </w:r>
      <w:r/>
    </w:p>
    <w:p>
      <w:pPr>
        <w:ind w:firstLine="284"/>
        <w:spacing w:lineRule="auto" w:line="240" w:after="0"/>
        <w:tabs>
          <w:tab w:val="left" w:pos="117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4.2. Заказчик подписывает акты сдачи-приемки </w:t>
      </w:r>
      <w:r>
        <w:rPr>
          <w:rFonts w:ascii="Times New Roman" w:hAnsi="Times New Roman" w:cs="Times New Roman" w:eastAsia="Times New Roman"/>
        </w:rPr>
        <w:t xml:space="preserve">оказанных услуг</w:t>
      </w:r>
      <w:r>
        <w:rPr>
          <w:rFonts w:ascii="Times New Roman" w:hAnsi="Times New Roman" w:cs="Times New Roman" w:eastAsia="Times New Roman"/>
        </w:rPr>
        <w:t xml:space="preserve">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</w:rPr>
        <w:t xml:space="preserve">4.3. В случае мотивированного отказа Заказчика от подписан</w:t>
      </w:r>
      <w:r>
        <w:rPr>
          <w:rFonts w:ascii="Times New Roman" w:hAnsi="Times New Roman" w:cs="Times New Roman" w:eastAsia="Times New Roman"/>
        </w:rPr>
        <w:t xml:space="preserve">ия, стороны в трехдневный срок </w:t>
      </w:r>
      <w:r>
        <w:rPr>
          <w:rFonts w:ascii="Times New Roman" w:hAnsi="Times New Roman" w:cs="Times New Roman" w:eastAsia="Times New Roman"/>
        </w:rPr>
        <w:t xml:space="preserve">составля</w:t>
      </w:r>
      <w:r>
        <w:rPr>
          <w:rFonts w:ascii="Times New Roman" w:hAnsi="Times New Roman" w:cs="Times New Roman" w:eastAsia="Times New Roman"/>
        </w:rPr>
        <w:t xml:space="preserve">ют двусторонний Акт с указанием выявленных недостатков и сроков их </w:t>
      </w:r>
      <w:r>
        <w:rPr>
          <w:rFonts w:ascii="Times New Roman" w:hAnsi="Times New Roman" w:cs="Times New Roman" w:eastAsia="Times New Roman"/>
        </w:rPr>
        <w:t xml:space="preserve">устранения.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4.4. В случае </w:t>
      </w:r>
      <w:r>
        <w:rPr>
          <w:rFonts w:ascii="Times New Roman" w:hAnsi="Times New Roman" w:cs="Times New Roman" w:eastAsia="Times New Roman"/>
        </w:rPr>
        <w:t xml:space="preserve">не</w:t>
      </w:r>
      <w:r>
        <w:rPr>
          <w:rFonts w:ascii="Times New Roman" w:hAnsi="Times New Roman" w:cs="Times New Roman" w:eastAsia="Times New Roman"/>
        </w:rPr>
        <w:t xml:space="preserve">получения Исполнителем </w:t>
      </w:r>
      <w:r>
        <w:rPr>
          <w:rFonts w:ascii="Times New Roman" w:hAnsi="Times New Roman" w:cs="Times New Roman" w:eastAsia="Times New Roman"/>
        </w:rPr>
        <w:t xml:space="preserve">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ПРАВА И ОБЯЗАННОСТИ ЗАКАЗЧИКА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 Заказчик обязан: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5.1.1. Оплатить Исполнителю стоимость услуг в соответствии с разделом 2 настоящего Договора.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5.1.2. Обеспечить Исполнителю доступ на объект для проведения обследования.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ПРАВА И ОБЯЗАННОСТИ ИСПОЛНИТЕЛЯ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 Исполнитель обязан: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6.1.1. Назначить ответственного эксперта за проведение обследования;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6.1.2.Соблюдать конфиденциальность информации ставшей известной ему в процессе выполнения обязательств в рамках настоящего Договора.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6.1.3. По окончании </w:t>
      </w:r>
      <w:r>
        <w:rPr>
          <w:rFonts w:ascii="Times New Roman" w:hAnsi="Times New Roman" w:cs="Times New Roman" w:eastAsia="Times New Roman"/>
        </w:rPr>
        <w:t xml:space="preserve">обследования предоставить Заказчику акт сдачи-приемки оказанных услуг. 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6.2. Исполнитель имеет право: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6.2.1. В случае несвоевременной оплаты Заказчиком оказанных ранее Исполнителем услуг, Исполнитель имеет право в одностороннем порядке приостановить оказание услуг по данному Договору до получения оплаты.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НЕЗАВИСИМОСТЬ ИСПОЛНИТЕЛЯ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7.1. Исполнит</w:t>
      </w:r>
      <w:r>
        <w:rPr>
          <w:rFonts w:ascii="Times New Roman" w:hAnsi="Times New Roman" w:cs="Times New Roman" w:eastAsia="Times New Roman"/>
        </w:rPr>
        <w:t xml:space="preserve">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7.2.  Исполнитель </w:t>
      </w:r>
      <w:r>
        <w:rPr>
          <w:rFonts w:ascii="Times New Roman" w:hAnsi="Times New Roman" w:cs="Times New Roman" w:eastAsia="Times New Roman"/>
        </w:rPr>
        <w:t xml:space="preserve">гарантирует, что в отношении объекта обследования не имеет вещных или обязательственных прав вне настоящего Договора.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7.3. Исполнитель не имеет прямой или косвенной заинтересованности в результатах обследования.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ОТВЕТСТВЕННОСТЬ СТОРОН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</w:rPr>
        <w:t xml:space="preserve">8.1. Исполнитель    не   несет   ответственность   за   невыполнение обязательств по настоящему </w:t>
      </w:r>
      <w:r>
        <w:rPr>
          <w:rFonts w:ascii="Times New Roman" w:hAnsi="Times New Roman" w:cs="Times New Roman" w:eastAsia="Times New Roman"/>
        </w:rPr>
        <w:t xml:space="preserve">договору, если оно вызвано действием или бездействием   Заказчика,</w:t>
      </w:r>
      <w:r>
        <w:rPr>
          <w:rFonts w:ascii="Times New Roman" w:hAnsi="Times New Roman" w:cs="Times New Roman" w:eastAsia="Times New Roman"/>
        </w:rPr>
        <w:t xml:space="preserve"> повлекшим   невыполнение   им </w:t>
      </w:r>
      <w:r>
        <w:rPr>
          <w:rFonts w:ascii="Times New Roman" w:hAnsi="Times New Roman" w:cs="Times New Roman" w:eastAsia="Times New Roman"/>
        </w:rPr>
        <w:t xml:space="preserve">собственных обязательств по настоящему договору перед Исполнителем.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  <w:r/>
    </w:p>
    <w:p>
      <w:pPr>
        <w:ind w:firstLine="284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8.3.  За неисполнение обязательства по оплате за оказанные услуги Заказчик несет отве</w:t>
      </w:r>
      <w:r>
        <w:rPr>
          <w:rFonts w:ascii="Times New Roman" w:hAnsi="Times New Roman" w:cs="Times New Roman" w:eastAsia="Times New Roman"/>
        </w:rPr>
        <w:t xml:space="preserve">тственность перед Исполнителем </w:t>
      </w:r>
      <w:r>
        <w:rPr>
          <w:rFonts w:ascii="Times New Roman" w:hAnsi="Times New Roman" w:cs="Times New Roman" w:eastAsia="Times New Roman"/>
        </w:rPr>
        <w:t xml:space="preserve">в виде пени в размере 0, 1% от суммы задолженности за каждый день просрочки, но не более 5% от стоимости договора.</w:t>
      </w:r>
      <w:r/>
    </w:p>
    <w:p>
      <w:pPr>
        <w:ind w:firstLine="284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8.4. За пр</w:t>
      </w:r>
      <w:r>
        <w:rPr>
          <w:rFonts w:ascii="Times New Roman" w:hAnsi="Times New Roman" w:cs="Times New Roman" w:eastAsia="Times New Roman"/>
        </w:rPr>
        <w:t xml:space="preserve">осрочку исполнения обязательств</w:t>
      </w:r>
      <w:r>
        <w:rPr>
          <w:rFonts w:ascii="Times New Roman" w:hAnsi="Times New Roman" w:cs="Times New Roman" w:eastAsia="Times New Roman"/>
        </w:rPr>
        <w:t xml:space="preserve"> по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  <w:r/>
    </w:p>
    <w:p>
      <w:pPr>
        <w:ind w:firstLine="284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Данная ответственность Исполнителя не наступает в </w:t>
      </w:r>
      <w:r>
        <w:rPr>
          <w:rFonts w:ascii="Times New Roman" w:hAnsi="Times New Roman" w:cs="Times New Roman" w:eastAsia="Times New Roman"/>
        </w:rPr>
        <w:t xml:space="preserve">случае неисполнения Заказчиком </w:t>
      </w:r>
      <w:r>
        <w:rPr>
          <w:rFonts w:ascii="Times New Roman" w:hAnsi="Times New Roman" w:cs="Times New Roman" w:eastAsia="Times New Roman"/>
        </w:rPr>
        <w:t xml:space="preserve">перед Исполнителем встречных обязательств по Договору.</w:t>
      </w:r>
      <w:r/>
    </w:p>
    <w:p>
      <w:pPr>
        <w:ind w:firstLine="284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8.5. В случае отсутствия доступа на объект, З</w:t>
      </w:r>
      <w:r>
        <w:rPr>
          <w:rFonts w:ascii="Times New Roman" w:hAnsi="Times New Roman" w:cs="Times New Roman" w:eastAsia="Times New Roman"/>
        </w:rPr>
        <w:t xml:space="preserve">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  <w:b/>
          <w:highlight w:val="yellow"/>
        </w:rPr>
      </w:pPr>
      <w:r>
        <w:rPr>
          <w:rFonts w:ascii="Times New Roman" w:hAnsi="Times New Roman" w:cs="Times New Roman" w:eastAsia="Times New Roman"/>
        </w:rPr>
        <w:t xml:space="preserve">8.6.   Уплата неустойки не освобождает Стороны от выполнения обязательств по настоящему Договору.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8.7. Спорные вопросы, возникающие в ходе исполнения настоящего договора, разрешаются сторонами путем переговоров. В сл</w:t>
      </w:r>
      <w:r>
        <w:rPr>
          <w:rFonts w:ascii="Times New Roman" w:hAnsi="Times New Roman" w:cs="Times New Roman" w:eastAsia="Times New Roman"/>
        </w:rPr>
        <w:t xml:space="preserve">учае не </w:t>
      </w:r>
      <w:r>
        <w:rPr>
          <w:rFonts w:ascii="Times New Roman" w:hAnsi="Times New Roman" w:cs="Times New Roman" w:eastAsia="Times New Roman"/>
        </w:rPr>
        <w:t xml:space="preserve">достижения договоренности, неурегулированные разногласия могут быть переданы на разрешение в суд г. Москвы.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ФОРС-МАЖОР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</w:t>
      </w:r>
      <w:r>
        <w:rPr>
          <w:rFonts w:ascii="Times New Roman" w:hAnsi="Times New Roman" w:cs="Times New Roman" w:eastAsia="Times New Roman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</w:t>
      </w:r>
      <w:r>
        <w:rPr>
          <w:rFonts w:ascii="Times New Roman" w:hAnsi="Times New Roman" w:cs="Times New Roman" w:eastAsia="Times New Roman"/>
        </w:rPr>
        <w:t xml:space="preserve">за которые стороны не отвечают и предотвратить, неблагоприятное воздействие которых они не имеют возможности.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9.2. Если обстоятельства непреодолимой силы продол</w:t>
      </w:r>
      <w:r>
        <w:rPr>
          <w:rFonts w:ascii="Times New Roman" w:hAnsi="Times New Roman" w:cs="Times New Roman" w:eastAsia="Times New Roman"/>
        </w:rPr>
        <w:t xml:space="preserve">жаются более 10 (десяти) дней, </w:t>
      </w:r>
      <w:r>
        <w:rPr>
          <w:rFonts w:ascii="Times New Roman" w:hAnsi="Times New Roman" w:cs="Times New Roman" w:eastAsia="Times New Roman"/>
        </w:rPr>
        <w:t xml:space="preserve">стороны обязуются принять решение о целесообразност</w:t>
      </w:r>
      <w:r>
        <w:rPr>
          <w:rFonts w:ascii="Times New Roman" w:hAnsi="Times New Roman" w:cs="Times New Roman" w:eastAsia="Times New Roman"/>
        </w:rPr>
        <w:t xml:space="preserve">и </w:t>
      </w:r>
      <w:r>
        <w:rPr>
          <w:rFonts w:ascii="Times New Roman" w:hAnsi="Times New Roman" w:cs="Times New Roman" w:eastAsia="Times New Roman"/>
        </w:rPr>
        <w:t xml:space="preserve">дальнейшего исполнения договора.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9.3. Если, по мнению сторон, работы могут быть продолжены в порядке, действовавше</w:t>
      </w:r>
      <w:r>
        <w:rPr>
          <w:rFonts w:ascii="Times New Roman" w:hAnsi="Times New Roman" w:cs="Times New Roman" w:eastAsia="Times New Roman"/>
        </w:rPr>
        <w:t xml:space="preserve">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ПРОЧИЕ УСЛОВИЯ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10.1. Настоящий договор вступает в силу с момента подписания сторонами и действует до полного исполнения сторонами обязательств.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10.3. 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10.4.  Вопросы, не урегулированные настоящим Договором, регламентируются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нормами действующего гражданского законодательства РФ.</w:t>
      </w:r>
      <w:r/>
    </w:p>
    <w:p>
      <w:pPr>
        <w:ind w:firstLine="284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contextualSpacing w:val="true"/>
        <w:ind w:left="0" w:firstLine="284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А</w:t>
      </w:r>
      <w:r>
        <w:rPr>
          <w:rFonts w:ascii="Times New Roman" w:hAnsi="Times New Roman" w:cs="Times New Roman" w:eastAsia="Times New Roman"/>
          <w:b/>
        </w:rPr>
        <w:t xml:space="preserve">ДРЕСА И РЕКВИЗИТЫ СТОРОН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-708" w:right="-136"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  <w:b/>
        </w:rPr>
        <w:t xml:space="preserve">Заказчик:</w:t>
      </w:r>
      <w:r>
        <w:rPr>
          <w:rFonts w:ascii="Times New Roman" w:hAnsi="Times New Roman" w:cs="Times New Roman" w:eastAsia="Cambria"/>
          <w:b/>
        </w:rPr>
        <w:t xml:space="preserve"> </w:t>
      </w:r>
      <w:r>
        <w:rPr>
          <w:rFonts w:ascii="Times New Roman" w:hAnsi="Times New Roman" w:cs="Times New Roman" w:eastAsia="Cambria"/>
          <w:u w:val="single"/>
        </w:rPr>
        <w:t xml:space="preserve">_____________________</w:t>
      </w:r>
      <w:r/>
    </w:p>
    <w:p>
      <w:pPr>
        <w:ind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</w:rPr>
        <w:t xml:space="preserve">Паспорт:</w:t>
      </w:r>
      <w:r>
        <w:rPr>
          <w:rFonts w:ascii="Times New Roman" w:hAnsi="Times New Roman" w:cs="Times New Roman" w:eastAsia="Cambria"/>
        </w:rPr>
        <w:t xml:space="preserve"> </w:t>
      </w:r>
      <w:r>
        <w:rPr>
          <w:rFonts w:ascii="Times New Roman" w:hAnsi="Times New Roman" w:cs="Times New Roman" w:eastAsia="Cambria"/>
          <w:u w:val="single"/>
        </w:rPr>
        <w:t xml:space="preserve">______________________________</w:t>
      </w:r>
      <w:r/>
    </w:p>
    <w:p>
      <w:pPr>
        <w:ind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</w:rPr>
        <w:t xml:space="preserve">Зарегистрирована по адресу:</w:t>
      </w:r>
      <w:r>
        <w:rPr>
          <w:rFonts w:ascii="Times New Roman" w:hAnsi="Times New Roman" w:cs="Times New Roman" w:eastAsia="Cambria"/>
          <w:u w:val="single"/>
        </w:rPr>
        <w:t xml:space="preserve"> </w:t>
      </w:r>
      <w:r>
        <w:rPr>
          <w:rFonts w:ascii="Times New Roman" w:hAnsi="Times New Roman" w:cs="Times New Roman" w:eastAsia="Cambria"/>
          <w:u w:val="single"/>
        </w:rPr>
        <w:t xml:space="preserve">__________________________</w:t>
      </w:r>
      <w:r/>
    </w:p>
    <w:p>
      <w:pPr>
        <w:ind w:left="-708" w:right="-136"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  <w:lang w:val="en-US"/>
        </w:rPr>
        <w:t xml:space="preserve">E</w:t>
      </w:r>
      <w:r>
        <w:rPr>
          <w:rFonts w:ascii="Times New Roman" w:hAnsi="Times New Roman" w:cs="Times New Roman" w:eastAsia="Cambria"/>
          <w:lang w:val="en-US"/>
        </w:rPr>
        <w:t xml:space="preserve">-</w:t>
      </w:r>
      <w:r>
        <w:rPr>
          <w:rFonts w:ascii="Times New Roman" w:hAnsi="Times New Roman" w:cs="Times New Roman" w:eastAsia="Cambria"/>
          <w:lang w:val="en-US"/>
        </w:rPr>
        <w:t xml:space="preserve">m</w:t>
      </w:r>
      <w:r>
        <w:rPr>
          <w:rFonts w:ascii="Times New Roman" w:hAnsi="Times New Roman" w:cs="Times New Roman" w:eastAsia="Cambria"/>
        </w:rPr>
        <w:t xml:space="preserve">а</w:t>
      </w:r>
      <w:r>
        <w:rPr>
          <w:rFonts w:ascii="Times New Roman" w:hAnsi="Times New Roman" w:cs="Times New Roman" w:eastAsia="Cambria"/>
          <w:lang w:val="en-US"/>
        </w:rPr>
        <w:t xml:space="preserve">il</w:t>
      </w:r>
      <w:r>
        <w:rPr>
          <w:rFonts w:ascii="Times New Roman" w:hAnsi="Times New Roman" w:cs="Times New Roman" w:eastAsia="Cambria"/>
          <w:lang w:val="en-US"/>
        </w:rPr>
        <w:t xml:space="preserve">: </w:t>
      </w:r>
      <w:r>
        <w:rPr>
          <w:rFonts w:ascii="Times New Roman" w:hAnsi="Times New Roman" w:cs="Times New Roman" w:eastAsia="Cambria"/>
          <w:u w:val="single"/>
        </w:rPr>
        <w:t xml:space="preserve">___________________</w:t>
      </w:r>
      <w:r/>
    </w:p>
    <w:p>
      <w:pPr>
        <w:ind w:left="-708" w:right="-136" w:firstLine="708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</w:rPr>
        <w:t xml:space="preserve">Телефон</w:t>
      </w:r>
      <w:r>
        <w:rPr>
          <w:rFonts w:ascii="Times New Roman" w:hAnsi="Times New Roman" w:cs="Times New Roman" w:eastAsia="Cambria"/>
          <w:lang w:val="en-US"/>
        </w:rPr>
        <w:t xml:space="preserve">:</w:t>
      </w:r>
      <w:r>
        <w:rPr>
          <w:rFonts w:ascii="Times New Roman" w:hAnsi="Times New Roman" w:cs="Times New Roman" w:eastAsia="Cambria"/>
          <w:u w:val="single"/>
          <w:lang w:val="en-US"/>
        </w:rPr>
        <w:t xml:space="preserve"> </w:t>
      </w:r>
      <w:r>
        <w:rPr>
          <w:rFonts w:ascii="Times New Roman" w:hAnsi="Times New Roman" w:cs="Times New Roman" w:eastAsia="Cambria"/>
          <w:u w:val="single"/>
        </w:rPr>
        <w:t xml:space="preserve">______________________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Cambria"/>
          <w:lang w:val="en-US"/>
        </w:rPr>
      </w:pPr>
      <w:r>
        <w:rPr>
          <w:rFonts w:ascii="Times New Roman" w:hAnsi="Times New Roman" w:cs="Times New Roman" w:eastAsia="Cambria"/>
          <w:lang w:val="en-US"/>
        </w:rPr>
      </w:r>
      <w:r/>
    </w:p>
    <w:p>
      <w:pPr>
        <w:ind w:firstLine="709"/>
        <w:jc w:val="right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Заказчик </w:t>
      </w:r>
      <w:r>
        <w:rPr>
          <w:rFonts w:ascii="Times New Roman" w:hAnsi="Times New Roman" w:cs="Times New Roman" w:eastAsia="Cambria"/>
        </w:rPr>
        <w:t xml:space="preserve">___________________________ / </w:t>
      </w:r>
      <w:r>
        <w:rPr>
          <w:rFonts w:ascii="Times New Roman" w:hAnsi="Times New Roman" w:cs="Times New Roman" w:eastAsia="Cambria"/>
        </w:rPr>
        <w:t xml:space="preserve">____________</w:t>
      </w:r>
      <w:r>
        <w:rPr>
          <w:rFonts w:ascii="Times New Roman" w:hAnsi="Times New Roman" w:cs="Times New Roman" w:eastAsia="Cambria"/>
        </w:rPr>
        <w:t xml:space="preserve"> /</w:t>
      </w:r>
      <w:r/>
    </w:p>
    <w:p>
      <w:pPr>
        <w:ind w:firstLine="709"/>
        <w:jc w:val="right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Исполнитель:</w:t>
      </w:r>
      <w:r>
        <w:rPr>
          <w:rFonts w:ascii="Times New Roman" w:hAnsi="Times New Roman" w:cs="Times New Roman" w:eastAsia="Cambria"/>
          <w:b/>
        </w:rPr>
        <w:t xml:space="preserve"> </w:t>
      </w:r>
      <w:r>
        <w:rPr>
          <w:rFonts w:ascii="Times New Roman" w:hAnsi="Times New Roman" w:cs="Times New Roman" w:eastAsia="Cambria"/>
        </w:rPr>
        <w:t xml:space="preserve">ООО «Технадзор77»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Общество с Ограниченной Ответственностью «Технадзор77»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ИНН 7733888020 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КПП 773301001 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ОГРН 1147746805964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Юридический адрес: , 125481, Москва г, Свободы ул, дом № 91, корпус 1, квартира 323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Фактический адрес: 107113, г. Москва,</w:t>
      </w:r>
      <w:r>
        <w:rPr>
          <w:rFonts w:ascii="Times New Roman" w:hAnsi="Times New Roman" w:cs="Times New Roman" w:eastAsia="Cambria"/>
        </w:rPr>
        <w:t xml:space="preserve"> Василия Петушкова, </w:t>
      </w:r>
      <w:r>
        <w:rPr>
          <w:rFonts w:ascii="Times New Roman" w:hAnsi="Times New Roman" w:cs="Times New Roman" w:eastAsia="Cambria"/>
        </w:rPr>
        <w:t xml:space="preserve">дом 8, офис 257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Наименование учреждения банка: АО «Альфа банк»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Местонахождение учреждения банка: г. Москва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Корреспондентский счет банка: 30101810200000000593</w:t>
      </w:r>
      <w:r/>
    </w:p>
    <w:p>
      <w:pPr>
        <w:ind w:left="-1418" w:firstLine="1418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БИК: 044525593</w:t>
      </w:r>
      <w:r/>
    </w:p>
    <w:p>
      <w:pPr>
        <w:ind w:left="-1276" w:firstLine="709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</w:r>
      <w:r/>
    </w:p>
    <w:p>
      <w:pPr>
        <w:ind w:left="-1276" w:right="-136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Cambria"/>
        </w:rPr>
        <w:t xml:space="preserve">           </w:t>
      </w:r>
      <w:r>
        <w:rPr>
          <w:rFonts w:ascii="Times New Roman" w:hAnsi="Times New Roman" w:cs="Times New Roman" w:eastAsia="Cambria"/>
        </w:rPr>
        <w:tab/>
      </w:r>
      <w:r>
        <w:rPr>
          <w:rFonts w:ascii="Times New Roman" w:hAnsi="Times New Roman" w:cs="Times New Roman" w:eastAsia="Cambria"/>
        </w:rPr>
        <w:t xml:space="preserve"> Генеральный директор Коржев Дмитрий Сергеевич</w:t>
      </w:r>
      <w:r/>
    </w:p>
    <w:p>
      <w:pPr>
        <w:ind w:firstLine="709"/>
        <w:jc w:val="right"/>
        <w:spacing w:lineRule="auto" w:line="240" w:after="0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 xml:space="preserve">Исполнитель </w:t>
      </w:r>
      <w:r>
        <w:rPr>
          <w:rFonts w:ascii="Cambria" w:hAnsi="Cambria" w:cs="Cambria" w:eastAsia="Cambria"/>
        </w:rPr>
        <w:t xml:space="preserve">______________________ /Коржев Д.С./</w:t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</w:t>
      </w:r>
      <w:r>
        <w:rPr>
          <w:rFonts w:ascii="Times New Roman" w:hAnsi="Times New Roman" w:cs="Times New Roman"/>
          <w:b/>
        </w:rPr>
        <w:t xml:space="preserve">риложение №1</w:t>
      </w:r>
      <w:r/>
    </w:p>
    <w:p>
      <w:pPr>
        <w:ind w:left="720" w:firstLine="720"/>
        <w:jc w:val="right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Договор </w:t>
      </w:r>
      <w:r>
        <w:rPr>
          <w:rFonts w:ascii="Times New Roman" w:hAnsi="Times New Roman" w:cs="Times New Roman" w:eastAsia="Times New Roman"/>
          <w:b/>
        </w:rPr>
        <w:t xml:space="preserve">__________________________</w:t>
      </w:r>
      <w:r/>
    </w:p>
    <w:p>
      <w:pPr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Форма.</w:t>
      </w:r>
      <w:r/>
    </w:p>
    <w:p>
      <w:pPr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</w:t>
      </w:r>
      <w:r>
        <w:rPr>
          <w:rFonts w:ascii="Times New Roman" w:hAnsi="Times New Roman" w:cs="Times New Roman"/>
          <w:b/>
          <w:i/>
        </w:rPr>
        <w:t xml:space="preserve">ехнический отчет по комплексному обследованию электроустановки объекта</w:t>
      </w:r>
      <w:r/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Общие выводы по результатам обследования.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Вводная часть.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Объект строительного обследования: Электротехнические разводки (электроустановка) в помещении по адресу: ______________________________</w:t>
      </w:r>
      <w:r/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Сведения об используемых при обследовании приборах и оборудовании.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_______________________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Характеристика обследуемого объекта: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_______________________</w:t>
      </w:r>
      <w:r/>
    </w:p>
    <w:p>
      <w:pPr>
        <w:jc w:val="both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Термины и определения.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_______________________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Цель обследования:</w:t>
      </w:r>
      <w:r/>
    </w:p>
    <w:p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Ответить на поставленные вопросы перед экспертизой: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</w:t>
      </w:r>
      <w:r/>
    </w:p>
    <w:p>
      <w:pPr>
        <w:jc w:val="center"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Диагностическое обследование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 обследовании объекта выявлены следующие дефекты:</w:t>
      </w:r>
      <w:r/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>
        <w:trPr/>
        <w:tc>
          <w:tcPr>
            <w:shd w:val="clear" w:fill="auto" w:color="auto"/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</w:t>
            </w:r>
            <w:r/>
          </w:p>
        </w:tc>
        <w:tc>
          <w:tcPr>
            <w:shd w:val="clear" w:fill="auto" w:color="auto"/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Элемент электрооборудования, электроустановки</w:t>
            </w:r>
            <w:r/>
          </w:p>
        </w:tc>
        <w:tc>
          <w:tcPr>
            <w:shd w:val="clear" w:fill="auto" w:color="auto"/>
            <w:tcW w:w="588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дефекта</w:t>
            </w:r>
            <w:r/>
          </w:p>
        </w:tc>
      </w:tr>
      <w:tr>
        <w:trPr/>
        <w:tc>
          <w:tcPr>
            <w:shd w:val="clear" w:fill="auto" w:color="auto"/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shd w:val="clear" w:fill="auto" w:color="auto"/>
            <w:tcW w:w="3190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shd w:val="clear" w:fill="auto" w:color="auto"/>
            <w:tcW w:w="588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</w:tr>
    </w:tbl>
    <w:p>
      <w:pPr>
        <w:ind w:left="2160" w:firstLine="720"/>
        <w:spacing w:after="0"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Исследовательская часть.</w:t>
      </w:r>
      <w:r/>
    </w:p>
    <w:p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Ведомость дефектов и </w:t>
      </w:r>
      <w:r>
        <w:rPr>
          <w:rFonts w:ascii="Times New Roman" w:hAnsi="Times New Roman" w:cs="Times New Roman"/>
          <w:b/>
          <w:i/>
        </w:rPr>
        <w:t xml:space="preserve">рекомендации по их устранению приведены в таблице 1.</w:t>
      </w:r>
      <w:r/>
    </w:p>
    <w:p>
      <w:pPr>
        <w:jc w:val="right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Таблица 1.</w:t>
      </w:r>
      <w:r/>
    </w:p>
    <w:tbl>
      <w:tblPr>
        <w:tblW w:w="97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006"/>
        <w:gridCol w:w="3118"/>
      </w:tblGrid>
      <w:tr>
        <w:trPr/>
        <w:tc>
          <w:tcPr>
            <w:shd w:val="clear" w:fill="auto" w:color="auto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№/№</w:t>
            </w:r>
            <w:r>
              <w:rPr>
                <w:rFonts w:ascii="Times New Roman" w:hAnsi="Times New Roman" w:cs="Times New Roman"/>
                <w:i/>
              </w:rPr>
              <w:br/>
              <w:t xml:space="preserve">п./п.</w:t>
            </w:r>
            <w:r/>
          </w:p>
        </w:tc>
        <w:tc>
          <w:tcPr>
            <w:shd w:val="clear" w:fill="auto" w:color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Элемент электрооборудования, электроустановки.</w:t>
            </w:r>
            <w:r/>
          </w:p>
        </w:tc>
        <w:tc>
          <w:tcPr>
            <w:shd w:val="clear" w:fill="auto" w:color="auto"/>
            <w:tcW w:w="300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дефекта</w:t>
            </w:r>
            <w:r/>
          </w:p>
        </w:tc>
        <w:tc>
          <w:tcPr>
            <w:shd w:val="clear" w:fill="auto" w:color="auto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 устранения</w:t>
            </w:r>
            <w:r/>
          </w:p>
        </w:tc>
      </w:tr>
      <w:tr>
        <w:trPr>
          <w:trHeight w:val="385"/>
        </w:trPr>
        <w:tc>
          <w:tcPr>
            <w:shd w:val="clear" w:fill="auto" w:color="auto"/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shd w:val="clear" w:fill="auto" w:color="auto"/>
            <w:tcW w:w="283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shd w:val="clear" w:fill="auto" w:color="auto"/>
            <w:tcW w:w="30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  <w:tc>
          <w:tcPr>
            <w:shd w:val="clear" w:fill="auto" w:color="auto"/>
            <w:tcW w:w="311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</w:r>
            <w:r/>
          </w:p>
        </w:tc>
      </w:tr>
    </w:tbl>
    <w:p>
      <w:pPr>
        <w:ind w:left="1440" w:firstLine="720"/>
        <w:spacing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Заключение по результатам исследований.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720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Century Schoolbook">
    <w:panose1 w:val="02060603050605020204"/>
  </w:font>
  <w:font w:name="Tahoma">
    <w:panose1 w:val="020B0604030504040204"/>
  </w:font>
  <w:font w:name="Georgia">
    <w:panose1 w:val="020205030504050203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firstLine="142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firstLine="4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88" w:firstLine="56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firstLine="7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2" w:firstLine="851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4" w:firstLine="99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76" w:firstLine="1136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78" w:firstLine="1278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04" w:firstLine="644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24" w:firstLine="1364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444" w:firstLine="2084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164" w:firstLine="2804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884" w:firstLine="3524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604" w:firstLine="4244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5324" w:firstLine="4964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044" w:firstLine="5684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764" w:firstLine="6404"/>
      </w:pPr>
      <w:rPr>
        <w:rFonts w:ascii="Arial" w:hAnsi="Arial" w:cs="Arial" w:eastAsia="Arial"/>
      </w:r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3698" w:firstLine="3338"/>
      </w:pPr>
    </w:lvl>
    <w:lvl w:ilvl="1">
      <w:start w:val="1"/>
      <w:numFmt w:val="lowerLetter"/>
      <w:isLgl w:val="false"/>
      <w:suff w:val="tab"/>
      <w:lvlText w:val="%2."/>
      <w:lvlJc w:val="left"/>
      <w:pPr>
        <w:ind w:left="4418" w:firstLine="4058"/>
      </w:pPr>
    </w:lvl>
    <w:lvl w:ilvl="2">
      <w:start w:val="1"/>
      <w:numFmt w:val="lowerRoman"/>
      <w:isLgl w:val="false"/>
      <w:suff w:val="tab"/>
      <w:lvlText w:val="%3."/>
      <w:lvlJc w:val="right"/>
      <w:pPr>
        <w:ind w:left="5138" w:firstLine="4958"/>
      </w:pPr>
    </w:lvl>
    <w:lvl w:ilvl="3">
      <w:start w:val="1"/>
      <w:numFmt w:val="decimal"/>
      <w:isLgl w:val="false"/>
      <w:suff w:val="tab"/>
      <w:lvlText w:val="%4."/>
      <w:lvlJc w:val="left"/>
      <w:pPr>
        <w:ind w:left="5858" w:firstLine="5498"/>
      </w:pPr>
    </w:lvl>
    <w:lvl w:ilvl="4">
      <w:start w:val="1"/>
      <w:numFmt w:val="lowerLetter"/>
      <w:isLgl w:val="false"/>
      <w:suff w:val="tab"/>
      <w:lvlText w:val="%5."/>
      <w:lvlJc w:val="left"/>
      <w:pPr>
        <w:ind w:left="6578" w:firstLine="6218"/>
      </w:pPr>
    </w:lvl>
    <w:lvl w:ilvl="5">
      <w:start w:val="1"/>
      <w:numFmt w:val="lowerRoman"/>
      <w:isLgl w:val="false"/>
      <w:suff w:val="tab"/>
      <w:lvlText w:val="%6."/>
      <w:lvlJc w:val="right"/>
      <w:pPr>
        <w:ind w:left="7298" w:firstLine="7118"/>
      </w:pPr>
    </w:lvl>
    <w:lvl w:ilvl="6">
      <w:start w:val="1"/>
      <w:numFmt w:val="decimal"/>
      <w:isLgl w:val="false"/>
      <w:suff w:val="tab"/>
      <w:lvlText w:val="%7."/>
      <w:lvlJc w:val="left"/>
      <w:pPr>
        <w:ind w:left="8018" w:firstLine="7658"/>
      </w:pPr>
    </w:lvl>
    <w:lvl w:ilvl="7">
      <w:start w:val="1"/>
      <w:numFmt w:val="lowerLetter"/>
      <w:isLgl w:val="false"/>
      <w:suff w:val="tab"/>
      <w:lvlText w:val="%8."/>
      <w:lvlJc w:val="left"/>
      <w:pPr>
        <w:ind w:left="8738" w:firstLine="8378"/>
      </w:pPr>
    </w:lvl>
    <w:lvl w:ilvl="8">
      <w:start w:val="1"/>
      <w:numFmt w:val="lowerRoman"/>
      <w:isLgl w:val="false"/>
      <w:suff w:val="tab"/>
      <w:lvlText w:val="%9."/>
      <w:lvlJc w:val="right"/>
      <w:pPr>
        <w:ind w:left="9458" w:firstLine="9278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472" w:firstLine="411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firstLine="108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firstLine="19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firstLine="252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firstLine="324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firstLine="414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firstLine="468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firstLine="540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firstLine="63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firstLine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firstLine="108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firstLine="180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firstLine="252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600" w:firstLine="324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firstLine="396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firstLine="468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5760" w:firstLine="540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firstLine="6120"/>
      </w:pPr>
      <w:rPr>
        <w:rFonts w:ascii="Arial" w:hAnsi="Arial" w:cs="Arial" w:eastAsia="Arial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firstLine="142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firstLine="4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88" w:firstLine="56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firstLine="7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2" w:firstLine="8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4" w:firstLine="99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76" w:firstLine="1136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78" w:firstLine="1278"/>
      </w:pPr>
    </w:lvl>
  </w:abstractNum>
  <w:abstractNum w:abstractNumId="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3698" w:firstLine="3338"/>
      </w:pPr>
    </w:lvl>
    <w:lvl w:ilvl="1">
      <w:start w:val="1"/>
      <w:numFmt w:val="lowerLetter"/>
      <w:isLgl w:val="false"/>
      <w:suff w:val="tab"/>
      <w:lvlText w:val="%2."/>
      <w:lvlJc w:val="left"/>
      <w:pPr>
        <w:ind w:left="4418" w:firstLine="4058"/>
      </w:pPr>
    </w:lvl>
    <w:lvl w:ilvl="2">
      <w:start w:val="1"/>
      <w:numFmt w:val="lowerRoman"/>
      <w:isLgl w:val="false"/>
      <w:suff w:val="tab"/>
      <w:lvlText w:val="%3."/>
      <w:lvlJc w:val="right"/>
      <w:pPr>
        <w:ind w:left="5138" w:firstLine="4958"/>
      </w:pPr>
    </w:lvl>
    <w:lvl w:ilvl="3">
      <w:start w:val="1"/>
      <w:numFmt w:val="decimal"/>
      <w:isLgl w:val="false"/>
      <w:suff w:val="tab"/>
      <w:lvlText w:val="%4."/>
      <w:lvlJc w:val="left"/>
      <w:pPr>
        <w:ind w:left="5858" w:firstLine="5498"/>
      </w:pPr>
    </w:lvl>
    <w:lvl w:ilvl="4">
      <w:start w:val="1"/>
      <w:numFmt w:val="lowerLetter"/>
      <w:isLgl w:val="false"/>
      <w:suff w:val="tab"/>
      <w:lvlText w:val="%5."/>
      <w:lvlJc w:val="left"/>
      <w:pPr>
        <w:ind w:left="6578" w:firstLine="6218"/>
      </w:pPr>
    </w:lvl>
    <w:lvl w:ilvl="5">
      <w:start w:val="1"/>
      <w:numFmt w:val="lowerRoman"/>
      <w:isLgl w:val="false"/>
      <w:suff w:val="tab"/>
      <w:lvlText w:val="%6."/>
      <w:lvlJc w:val="right"/>
      <w:pPr>
        <w:ind w:left="7298" w:firstLine="7118"/>
      </w:pPr>
    </w:lvl>
    <w:lvl w:ilvl="6">
      <w:start w:val="1"/>
      <w:numFmt w:val="decimal"/>
      <w:isLgl w:val="false"/>
      <w:suff w:val="tab"/>
      <w:lvlText w:val="%7."/>
      <w:lvlJc w:val="left"/>
      <w:pPr>
        <w:ind w:left="8018" w:firstLine="7658"/>
      </w:pPr>
    </w:lvl>
    <w:lvl w:ilvl="7">
      <w:start w:val="1"/>
      <w:numFmt w:val="lowerLetter"/>
      <w:isLgl w:val="false"/>
      <w:suff w:val="tab"/>
      <w:lvlText w:val="%8."/>
      <w:lvlJc w:val="left"/>
      <w:pPr>
        <w:ind w:left="8738" w:firstLine="8378"/>
      </w:pPr>
    </w:lvl>
    <w:lvl w:ilvl="8">
      <w:start w:val="1"/>
      <w:numFmt w:val="lowerRoman"/>
      <w:isLgl w:val="false"/>
      <w:suff w:val="tab"/>
      <w:lvlText w:val="%9."/>
      <w:lvlJc w:val="right"/>
      <w:pPr>
        <w:ind w:left="9458" w:firstLine="9278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firstLine="142"/>
      </w:pPr>
    </w:lvl>
    <w:lvl w:ilvl="1">
      <w:start w:val="1"/>
      <w:numFmt w:val="decimal"/>
      <w:isLgl w:val="false"/>
      <w:suff w:val="tab"/>
      <w:lvlText w:val="%1.%2."/>
      <w:lvlJc w:val="left"/>
      <w:pPr>
        <w:ind w:left="1237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37" w:firstLine="14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37" w:firstLine="14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237" w:firstLine="14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237" w:firstLine="14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582" w:firstLine="141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82" w:firstLine="141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942" w:firstLine="141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472" w:firstLine="4112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5192" w:firstLine="4832"/>
      </w:pPr>
    </w:lvl>
    <w:lvl w:ilvl="2">
      <w:start w:val="1"/>
      <w:numFmt w:val="lowerRoman"/>
      <w:isLgl w:val="false"/>
      <w:suff w:val="tab"/>
      <w:lvlText w:val="%3."/>
      <w:lvlJc w:val="right"/>
      <w:pPr>
        <w:ind w:left="5912" w:firstLine="5732"/>
      </w:pPr>
    </w:lvl>
    <w:lvl w:ilvl="3">
      <w:start w:val="1"/>
      <w:numFmt w:val="decimal"/>
      <w:isLgl w:val="false"/>
      <w:suff w:val="tab"/>
      <w:lvlText w:val="%4."/>
      <w:lvlJc w:val="left"/>
      <w:pPr>
        <w:ind w:left="6632" w:firstLine="6272"/>
      </w:pPr>
    </w:lvl>
    <w:lvl w:ilvl="4">
      <w:start w:val="1"/>
      <w:numFmt w:val="lowerLetter"/>
      <w:isLgl w:val="false"/>
      <w:suff w:val="tab"/>
      <w:lvlText w:val="%5."/>
      <w:lvlJc w:val="left"/>
      <w:pPr>
        <w:ind w:left="7352" w:firstLine="6992"/>
      </w:pPr>
    </w:lvl>
    <w:lvl w:ilvl="5">
      <w:start w:val="1"/>
      <w:numFmt w:val="lowerRoman"/>
      <w:isLgl w:val="false"/>
      <w:suff w:val="tab"/>
      <w:lvlText w:val="%6."/>
      <w:lvlJc w:val="right"/>
      <w:pPr>
        <w:ind w:left="8072" w:firstLine="7892"/>
      </w:pPr>
    </w:lvl>
    <w:lvl w:ilvl="6">
      <w:start w:val="1"/>
      <w:numFmt w:val="decimal"/>
      <w:isLgl w:val="false"/>
      <w:suff w:val="tab"/>
      <w:lvlText w:val="%7."/>
      <w:lvlJc w:val="left"/>
      <w:pPr>
        <w:ind w:left="8792" w:firstLine="8432"/>
      </w:pPr>
    </w:lvl>
    <w:lvl w:ilvl="7">
      <w:start w:val="1"/>
      <w:numFmt w:val="lowerLetter"/>
      <w:isLgl w:val="false"/>
      <w:suff w:val="tab"/>
      <w:lvlText w:val="%8."/>
      <w:lvlJc w:val="left"/>
      <w:pPr>
        <w:ind w:left="9512" w:firstLine="9152"/>
      </w:pPr>
    </w:lvl>
    <w:lvl w:ilvl="8">
      <w:start w:val="1"/>
      <w:numFmt w:val="lowerRoman"/>
      <w:isLgl w:val="false"/>
      <w:suff w:val="tab"/>
      <w:lvlText w:val="%9."/>
      <w:lvlJc w:val="right"/>
      <w:pPr>
        <w:ind w:left="10232" w:firstLine="10052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1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1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1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1"/>
    <w:link w:val="665"/>
    <w:uiPriority w:val="10"/>
    <w:rPr>
      <w:sz w:val="48"/>
      <w:szCs w:val="48"/>
    </w:rPr>
  </w:style>
  <w:style w:type="character" w:styleId="35">
    <w:name w:val="Subtitle Char"/>
    <w:basedOn w:val="661"/>
    <w:link w:val="666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79"/>
    <w:uiPriority w:val="99"/>
  </w:style>
  <w:style w:type="character" w:styleId="43">
    <w:name w:val="Footer Char"/>
    <w:basedOn w:val="661"/>
    <w:link w:val="681"/>
    <w:uiPriority w:val="99"/>
  </w:style>
  <w:style w:type="paragraph" w:styleId="44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1"/>
    <w:uiPriority w:val="99"/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rPr>
      <w:color w:val="000000"/>
      <w:sz w:val="22"/>
      <w:szCs w:val="22"/>
    </w:rPr>
    <w:pPr>
      <w:spacing w:lineRule="auto" w:line="276" w:after="200"/>
    </w:pPr>
  </w:style>
  <w:style w:type="paragraph" w:styleId="655">
    <w:name w:val="Heading 1"/>
    <w:basedOn w:val="654"/>
    <w:next w:val="654"/>
    <w:rPr>
      <w:rFonts w:ascii="Times New Roman" w:hAnsi="Times New Roman" w:cs="Times New Roman" w:eastAsia="Times New Roman"/>
      <w:b/>
      <w:sz w:val="48"/>
      <w:szCs w:val="48"/>
    </w:rPr>
    <w:pPr>
      <w:keepLines/>
      <w:keepNext/>
      <w:spacing w:lineRule="auto" w:line="240" w:after="100" w:before="100"/>
      <w:outlineLvl w:val="0"/>
    </w:pPr>
  </w:style>
  <w:style w:type="paragraph" w:styleId="656">
    <w:name w:val="Heading 2"/>
    <w:basedOn w:val="654"/>
    <w:next w:val="654"/>
    <w:rPr>
      <w:rFonts w:ascii="Cambria" w:hAnsi="Cambria" w:cs="Cambria" w:eastAsia="Cambria"/>
      <w:b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657">
    <w:name w:val="Heading 3"/>
    <w:basedOn w:val="654"/>
    <w:next w:val="654"/>
    <w:rPr>
      <w:b/>
      <w:sz w:val="28"/>
      <w:szCs w:val="28"/>
    </w:rPr>
    <w:pPr>
      <w:contextualSpacing w:val="true"/>
      <w:keepLines/>
      <w:keepNext/>
      <w:spacing w:after="80" w:before="280"/>
      <w:outlineLvl w:val="2"/>
    </w:pPr>
  </w:style>
  <w:style w:type="paragraph" w:styleId="658">
    <w:name w:val="Heading 4"/>
    <w:basedOn w:val="654"/>
    <w:next w:val="654"/>
    <w:rPr>
      <w:b/>
      <w:sz w:val="24"/>
      <w:szCs w:val="24"/>
    </w:rPr>
    <w:pPr>
      <w:contextualSpacing w:val="true"/>
      <w:keepLines/>
      <w:keepNext/>
      <w:spacing w:after="40" w:before="240"/>
      <w:outlineLvl w:val="3"/>
    </w:pPr>
  </w:style>
  <w:style w:type="paragraph" w:styleId="659">
    <w:name w:val="Heading 5"/>
    <w:basedOn w:val="654"/>
    <w:next w:val="654"/>
    <w:rPr>
      <w:b/>
    </w:rPr>
    <w:pPr>
      <w:contextualSpacing w:val="true"/>
      <w:keepLines/>
      <w:keepNext/>
      <w:spacing w:after="40" w:before="220"/>
      <w:outlineLvl w:val="4"/>
    </w:pPr>
  </w:style>
  <w:style w:type="paragraph" w:styleId="660">
    <w:name w:val="Heading 6"/>
    <w:basedOn w:val="654"/>
    <w:next w:val="654"/>
    <w:rPr>
      <w:b/>
      <w:sz w:val="20"/>
      <w:szCs w:val="20"/>
    </w:rPr>
    <w:pPr>
      <w:contextualSpacing w:val="true"/>
      <w:keepLines/>
      <w:keepNext/>
      <w:spacing w:after="40" w:before="200"/>
      <w:outlineLvl w:val="5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table" w:styleId="664" w:customStyle="1">
    <w:name w:val="Table Normal"/>
    <w:rPr>
      <w:color w:val="000000"/>
      <w:sz w:val="22"/>
      <w:szCs w:val="22"/>
    </w:rPr>
    <w:pPr>
      <w:spacing w:lineRule="auto" w:line="276" w:after="20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5">
    <w:name w:val="Title"/>
    <w:basedOn w:val="654"/>
    <w:next w:val="654"/>
    <w:rPr>
      <w:b/>
      <w:sz w:val="72"/>
      <w:szCs w:val="72"/>
    </w:rPr>
    <w:pPr>
      <w:contextualSpacing w:val="true"/>
      <w:keepLines/>
      <w:keepNext/>
      <w:spacing w:after="120" w:before="480"/>
    </w:pPr>
  </w:style>
  <w:style w:type="paragraph" w:styleId="666">
    <w:name w:val="Subtitle"/>
    <w:basedOn w:val="654"/>
    <w:next w:val="654"/>
    <w:rPr>
      <w:rFonts w:ascii="Georgia" w:hAnsi="Georgia" w:cs="Georgia" w:eastAsia="Georgia"/>
      <w:i/>
      <w:color w:val="666666"/>
      <w:sz w:val="48"/>
      <w:szCs w:val="48"/>
    </w:rPr>
    <w:pPr>
      <w:contextualSpacing w:val="true"/>
      <w:keepLines/>
      <w:keepNext/>
      <w:spacing w:after="80" w:before="360"/>
    </w:pPr>
  </w:style>
  <w:style w:type="table" w:styleId="667" w:customStyle="1">
    <w:name w:val="StGen0"/>
    <w:basedOn w:val="6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68" w:customStyle="1">
    <w:name w:val="StGen1"/>
    <w:basedOn w:val="664"/>
    <w:tblPr>
      <w:tblStyleRowBandSize w:val="1"/>
      <w:tblStyleColBandSize w:val="1"/>
    </w:tblPr>
  </w:style>
  <w:style w:type="table" w:styleId="669" w:customStyle="1">
    <w:name w:val="StGen2"/>
    <w:basedOn w:val="6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70" w:customStyle="1">
    <w:name w:val="StGen3"/>
    <w:basedOn w:val="66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71">
    <w:name w:val="List Paragraph"/>
    <w:basedOn w:val="654"/>
    <w:qFormat/>
    <w:uiPriority w:val="34"/>
    <w:pPr>
      <w:contextualSpacing w:val="true"/>
      <w:ind w:left="720"/>
    </w:pPr>
  </w:style>
  <w:style w:type="character" w:styleId="672" w:customStyle="1">
    <w:name w:val="go"/>
    <w:basedOn w:val="661"/>
  </w:style>
  <w:style w:type="paragraph" w:styleId="673">
    <w:name w:val="Balloon Text"/>
    <w:basedOn w:val="654"/>
    <w:link w:val="6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4" w:customStyle="1">
    <w:name w:val="Текст выноски Знак"/>
    <w:link w:val="673"/>
    <w:uiPriority w:val="99"/>
    <w:semiHidden/>
    <w:rPr>
      <w:rFonts w:ascii="Tahoma" w:hAnsi="Tahoma" w:cs="Tahoma"/>
      <w:sz w:val="16"/>
      <w:szCs w:val="16"/>
    </w:rPr>
  </w:style>
  <w:style w:type="character" w:styleId="675" w:customStyle="1">
    <w:name w:val="Font Style12"/>
    <w:rPr>
      <w:rFonts w:ascii="Century Schoolbook" w:hAnsi="Century Schoolbook" w:cs="Century Schoolbook"/>
      <w:sz w:val="22"/>
      <w:szCs w:val="22"/>
    </w:rPr>
  </w:style>
  <w:style w:type="paragraph" w:styleId="676" w:customStyle="1">
    <w:name w:val="Style2"/>
    <w:basedOn w:val="654"/>
    <w:rPr>
      <w:rFonts w:ascii="Century Schoolbook" w:hAnsi="Century Schoolbook" w:cs="Times New Roman" w:eastAsia="Times New Roman"/>
      <w:color w:val="auto"/>
      <w:sz w:val="24"/>
      <w:szCs w:val="24"/>
    </w:rPr>
    <w:pPr>
      <w:spacing w:lineRule="exact" w:line="274" w:after="0"/>
      <w:widowControl w:val="off"/>
    </w:pPr>
  </w:style>
  <w:style w:type="paragraph" w:styleId="677">
    <w:name w:val="No Spacing"/>
    <w:qFormat/>
    <w:uiPriority w:val="1"/>
    <w:rPr>
      <w:color w:val="000000"/>
      <w:sz w:val="22"/>
      <w:szCs w:val="22"/>
    </w:rPr>
  </w:style>
  <w:style w:type="character" w:styleId="678" w:customStyle="1">
    <w:name w:val="il"/>
  </w:style>
  <w:style w:type="paragraph" w:styleId="679">
    <w:name w:val="Header"/>
    <w:basedOn w:val="654"/>
    <w:link w:val="6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0" w:customStyle="1">
    <w:name w:val="Верхний колонтитул Знак"/>
    <w:link w:val="679"/>
    <w:uiPriority w:val="99"/>
    <w:rPr>
      <w:color w:val="000000"/>
      <w:sz w:val="22"/>
      <w:szCs w:val="22"/>
    </w:rPr>
  </w:style>
  <w:style w:type="paragraph" w:styleId="681">
    <w:name w:val="Footer"/>
    <w:basedOn w:val="654"/>
    <w:link w:val="6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link w:val="681"/>
    <w:uiPriority w:val="99"/>
    <w:rPr>
      <w:color w:val="000000"/>
      <w:sz w:val="22"/>
      <w:szCs w:val="22"/>
    </w:rPr>
  </w:style>
  <w:style w:type="table" w:styleId="683">
    <w:name w:val="Table Grid"/>
    <w:basedOn w:val="662"/>
    <w:rPr>
      <w:rFonts w:cs="Times New Roman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 Долгов</cp:lastModifiedBy>
  <cp:revision>3</cp:revision>
  <dcterms:created xsi:type="dcterms:W3CDTF">2022-01-14T17:56:00Z</dcterms:created>
  <dcterms:modified xsi:type="dcterms:W3CDTF">2022-02-18T10:21:30Z</dcterms:modified>
</cp:coreProperties>
</file>